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D6" w:rsidRPr="0047082C" w:rsidRDefault="008B15D6" w:rsidP="008B15D6">
      <w:pPr>
        <w:pStyle w:val="Headers"/>
      </w:pPr>
      <w:r w:rsidRPr="0047082C">
        <w:t>Оценки возможности и масштабов увеличения эффективных теплофизических свойств неоднородных систем с фазовыми переходами жидкость - твёрдое тело</w:t>
      </w:r>
    </w:p>
    <w:p w:rsidR="008B15D6" w:rsidRPr="0047082C" w:rsidRDefault="008B15D6" w:rsidP="008B15D6">
      <w:pPr>
        <w:pStyle w:val="Authors"/>
      </w:pPr>
      <w:r w:rsidRPr="00A30265">
        <w:rPr>
          <w:u w:val="single"/>
        </w:rPr>
        <w:t>А.Ю. Горбунова</w:t>
      </w:r>
      <w:r w:rsidRPr="0047082C">
        <w:t xml:space="preserve">, Ю.П. </w:t>
      </w:r>
      <w:proofErr w:type="spellStart"/>
      <w:r w:rsidRPr="0047082C">
        <w:t>Заричняк</w:t>
      </w:r>
      <w:proofErr w:type="spellEnd"/>
      <w:r w:rsidRPr="0047082C">
        <w:t xml:space="preserve">, В.Ю. Захарова, </w:t>
      </w:r>
      <w:r>
        <w:t>В.А. </w:t>
      </w:r>
      <w:r w:rsidRPr="0047082C">
        <w:t xml:space="preserve">Кораблёв, Д.П Волков, Н.В. Пилипенко </w:t>
      </w:r>
    </w:p>
    <w:p w:rsidR="008B15D6" w:rsidRPr="0047082C" w:rsidRDefault="008B15D6" w:rsidP="008B15D6">
      <w:pPr>
        <w:pStyle w:val="Affilation"/>
      </w:pPr>
      <w:r w:rsidRPr="0047082C">
        <w:t>Санкт-Петербургский национальный исследовательский университет информационных технологий, механики и оптики, Кронверкский пр., 49, Санкт-Петербург, 197101</w:t>
      </w:r>
    </w:p>
    <w:p w:rsidR="008B15D6" w:rsidRPr="008B15D6" w:rsidRDefault="008B15D6" w:rsidP="008B15D6">
      <w:pPr>
        <w:pStyle w:val="Bodynonindent"/>
        <w:jc w:val="center"/>
      </w:pPr>
      <w:r w:rsidRPr="008B15D6">
        <w:rPr>
          <w:b/>
        </w:rPr>
        <w:t>Ключевые слова</w:t>
      </w:r>
      <w:r w:rsidRPr="008B15D6">
        <w:t>: не</w:t>
      </w:r>
      <w:bookmarkStart w:id="0" w:name="_GoBack"/>
      <w:bookmarkEnd w:id="0"/>
      <w:r w:rsidRPr="008B15D6">
        <w:t>однородные системы с фазовыми переходами, теплофизические свойства теплоёмкость, теплопроводность, температуропроводность</w:t>
      </w:r>
    </w:p>
    <w:p w:rsidR="008B15D6" w:rsidRPr="00A30265" w:rsidRDefault="008B15D6" w:rsidP="008B15D6">
      <w:pPr>
        <w:pStyle w:val="Body"/>
        <w:rPr>
          <w:lang w:val="ru-RU"/>
        </w:rPr>
      </w:pPr>
      <w:r w:rsidRPr="008B15D6">
        <w:rPr>
          <w:lang w:val="ru-RU"/>
        </w:rPr>
        <w:t xml:space="preserve">Снижение количества потребляемой для производства продуктов и жизнеобеспечения граждан энергии является важной задачей для стран мира. </w:t>
      </w:r>
      <w:r w:rsidRPr="00A30265">
        <w:rPr>
          <w:lang w:val="ru-RU"/>
        </w:rPr>
        <w:t xml:space="preserve">Россия входит в тройку стран с наиболее затратным энергопотреблением. Энергоемкость ВВП в три раза выше, чем у мировых лидеров из стран </w:t>
      </w:r>
      <w:r w:rsidRPr="0047082C">
        <w:t>G</w:t>
      </w:r>
      <w:r w:rsidRPr="00A30265">
        <w:rPr>
          <w:lang w:val="ru-RU"/>
        </w:rPr>
        <w:t>7. В стратегии развития РФ (и федеральном законе) по повышению энергетической эффективности экономики, необходимо снижать энергоемкость валового внутреннего продукта не менее, чем на 1,5% в год [1], в том числе за счёт повышения эффективности систем аккумулирования и отдачи тепловой энергии.</w:t>
      </w:r>
    </w:p>
    <w:p w:rsidR="008B15D6" w:rsidRPr="008B15D6" w:rsidRDefault="008B15D6" w:rsidP="008B15D6">
      <w:pPr>
        <w:pStyle w:val="Body"/>
        <w:rPr>
          <w:lang w:val="ru-RU"/>
        </w:rPr>
      </w:pPr>
      <w:r w:rsidRPr="00A30265">
        <w:rPr>
          <w:lang w:val="ru-RU"/>
        </w:rPr>
        <w:t xml:space="preserve">Данная работа посвящена оценкам возможности и масштабов повышения энергоэффективности систем с фазовыми переходами жидкость-твёрдое тело. В качестве накопителей энергии предлагается использовать неоднородные системы вида парафин + высокотеплопроводный порошковый наполнитель либо пенокаркас из высокотеплопроводного металла с сообщающимися порами, заполненными парафином. </w:t>
      </w:r>
      <w:r w:rsidRPr="008B15D6">
        <w:rPr>
          <w:lang w:val="ru-RU"/>
        </w:rPr>
        <w:t xml:space="preserve">Выбор вида наполнителя и его объёмной доли </w:t>
      </w:r>
      <w:r w:rsidRPr="0047082C">
        <w:t>V</w:t>
      </w:r>
      <w:r w:rsidRPr="008B15D6">
        <w:rPr>
          <w:vertAlign w:val="subscript"/>
          <w:lang w:val="ru-RU"/>
        </w:rPr>
        <w:t>2</w:t>
      </w:r>
      <w:r w:rsidRPr="008B15D6">
        <w:rPr>
          <w:lang w:val="ru-RU"/>
        </w:rPr>
        <w:t xml:space="preserve"> зависят </w:t>
      </w:r>
      <w:r w:rsidRPr="008B15D6">
        <w:rPr>
          <w:lang w:val="ru-RU"/>
        </w:rPr>
        <w:lastRenderedPageBreak/>
        <w:t xml:space="preserve">от оптимальной величины комплексного параметра </w:t>
      </w:r>
      <w:proofErr w:type="spellStart"/>
      <w:r w:rsidRPr="008B15D6">
        <w:rPr>
          <w:lang w:val="ru-RU"/>
        </w:rPr>
        <w:t>температуропроводности</w:t>
      </w:r>
      <w:proofErr w:type="spellEnd"/>
      <w:r w:rsidRPr="008B15D6">
        <w:rPr>
          <w:szCs w:val="24"/>
          <w:lang w:val="ru-RU"/>
        </w:rPr>
        <w:t xml:space="preserve"> </w:t>
      </w:r>
      <w:proofErr w:type="spellStart"/>
      <w:r w:rsidRPr="008B15D6">
        <w:rPr>
          <w:i/>
          <w:szCs w:val="24"/>
        </w:rPr>
        <w:t>a</w:t>
      </w:r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vertAlign w:val="subscript"/>
          <w:lang w:val="ru-RU"/>
        </w:rPr>
        <w:t xml:space="preserve"> </w:t>
      </w:r>
      <w:r w:rsidRPr="008B15D6">
        <w:rPr>
          <w:szCs w:val="24"/>
          <w:lang w:val="ru-RU"/>
        </w:rPr>
        <w:t xml:space="preserve">= </w:t>
      </w:r>
      <w:r w:rsidRPr="008B15D6">
        <w:rPr>
          <w:szCs w:val="24"/>
          <w:lang w:val="el-GR"/>
        </w:rPr>
        <w:t>λ</w:t>
      </w:r>
      <w:proofErr w:type="spellStart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lang w:val="ru-RU"/>
        </w:rPr>
        <w:t>/(с</w:t>
      </w:r>
      <w:proofErr w:type="spellStart"/>
      <w:proofErr w:type="gramStart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lang w:val="ru-RU"/>
        </w:rPr>
        <w:t>,</w:t>
      </w:r>
      <w:r w:rsidRPr="008B15D6">
        <w:rPr>
          <w:szCs w:val="24"/>
          <w:lang w:val="el-GR"/>
        </w:rPr>
        <w:t>ρ</w:t>
      </w:r>
      <w:proofErr w:type="spellStart"/>
      <w:proofErr w:type="gramEnd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lang w:val="ru-RU"/>
        </w:rPr>
        <w:t>),</w:t>
      </w:r>
      <w:r w:rsidRPr="008B15D6">
        <w:rPr>
          <w:b/>
          <w:szCs w:val="24"/>
          <w:lang w:val="ru-RU"/>
        </w:rPr>
        <w:t xml:space="preserve"> </w:t>
      </w:r>
      <w:r w:rsidRPr="008B15D6">
        <w:rPr>
          <w:lang w:val="ru-RU"/>
        </w:rPr>
        <w:t xml:space="preserve">, определяемого соотношением эффективной теплопроводности </w:t>
      </w:r>
      <w:r w:rsidRPr="008B15D6">
        <w:rPr>
          <w:szCs w:val="24"/>
          <w:lang w:val="el-GR"/>
        </w:rPr>
        <w:t>λ</w:t>
      </w:r>
      <w:proofErr w:type="spellStart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lang w:val="ru-RU"/>
        </w:rPr>
        <w:t> =</w:t>
      </w:r>
      <w:r>
        <w:rPr>
          <w:szCs w:val="24"/>
          <w:lang w:val="ru-RU"/>
        </w:rPr>
        <w:t> </w:t>
      </w:r>
      <w:r w:rsidRPr="008B15D6">
        <w:rPr>
          <w:szCs w:val="24"/>
        </w:rPr>
        <w:t>f</w:t>
      </w:r>
      <w:r w:rsidRPr="008B15D6">
        <w:rPr>
          <w:szCs w:val="24"/>
          <w:lang w:val="ru-RU"/>
        </w:rPr>
        <w:t>(</w:t>
      </w:r>
      <w:r w:rsidRPr="008B15D6">
        <w:rPr>
          <w:szCs w:val="24"/>
          <w:lang w:val="el-GR"/>
        </w:rPr>
        <w:t>λ</w:t>
      </w:r>
      <w:r w:rsidRPr="008B15D6">
        <w:rPr>
          <w:szCs w:val="24"/>
          <w:vertAlign w:val="subscript"/>
          <w:lang w:val="ru-RU"/>
        </w:rPr>
        <w:t>1</w:t>
      </w:r>
      <w:r w:rsidRPr="008B15D6">
        <w:rPr>
          <w:szCs w:val="24"/>
          <w:lang w:val="ru-RU"/>
        </w:rPr>
        <w:t>,</w:t>
      </w:r>
      <w:r w:rsidRPr="008B15D6">
        <w:rPr>
          <w:szCs w:val="24"/>
          <w:lang w:val="el-GR"/>
        </w:rPr>
        <w:t>λ</w:t>
      </w:r>
      <w:r w:rsidRPr="008B15D6">
        <w:rPr>
          <w:szCs w:val="24"/>
          <w:vertAlign w:val="subscript"/>
          <w:lang w:val="ru-RU"/>
        </w:rPr>
        <w:t>2</w:t>
      </w:r>
      <w:r w:rsidRPr="008B15D6">
        <w:rPr>
          <w:szCs w:val="24"/>
          <w:lang w:val="ru-RU"/>
        </w:rPr>
        <w:t>,</w:t>
      </w:r>
      <w:r w:rsidRPr="008B15D6">
        <w:rPr>
          <w:szCs w:val="24"/>
        </w:rPr>
        <w:t>v</w:t>
      </w:r>
      <w:r w:rsidRPr="008B15D6">
        <w:rPr>
          <w:szCs w:val="24"/>
          <w:vertAlign w:val="subscript"/>
          <w:lang w:val="ru-RU"/>
        </w:rPr>
        <w:t>2</w:t>
      </w:r>
      <w:r w:rsidRPr="008B15D6">
        <w:rPr>
          <w:szCs w:val="24"/>
          <w:lang w:val="ru-RU"/>
        </w:rPr>
        <w:t>)</w:t>
      </w:r>
      <w:r w:rsidRPr="008B15D6">
        <w:rPr>
          <w:sz w:val="28"/>
          <w:szCs w:val="28"/>
          <w:lang w:val="ru-RU"/>
        </w:rPr>
        <w:t xml:space="preserve"> </w:t>
      </w:r>
      <w:r w:rsidRPr="008B15D6">
        <w:rPr>
          <w:lang w:val="ru-RU"/>
        </w:rPr>
        <w:t xml:space="preserve">матрицы с наполнителем, свойств матричного компонента парафина (удельной теплоёмкости </w:t>
      </w:r>
      <w:r w:rsidRPr="0047082C">
        <w:t>C</w:t>
      </w:r>
      <w:r w:rsidRPr="008B15D6">
        <w:rPr>
          <w:vertAlign w:val="subscript"/>
          <w:lang w:val="ru-RU"/>
        </w:rPr>
        <w:t>1</w:t>
      </w:r>
      <w:r w:rsidRPr="008B15D6">
        <w:rPr>
          <w:lang w:val="ru-RU"/>
        </w:rPr>
        <w:t xml:space="preserve">, теплопроводности </w:t>
      </w:r>
      <w:r w:rsidRPr="0047082C">
        <w:t>λ</w:t>
      </w:r>
      <w:r w:rsidRPr="008B15D6">
        <w:rPr>
          <w:vertAlign w:val="subscript"/>
          <w:lang w:val="ru-RU"/>
        </w:rPr>
        <w:t>1</w:t>
      </w:r>
      <w:r w:rsidRPr="008B15D6">
        <w:rPr>
          <w:lang w:val="ru-RU"/>
        </w:rPr>
        <w:t xml:space="preserve"> и плотности </w:t>
      </w:r>
      <w:r w:rsidRPr="0047082C">
        <w:t>ρ</w:t>
      </w:r>
      <w:r w:rsidRPr="008B15D6">
        <w:rPr>
          <w:vertAlign w:val="subscript"/>
          <w:lang w:val="ru-RU"/>
        </w:rPr>
        <w:t>1</w:t>
      </w:r>
      <w:r w:rsidRPr="008B15D6">
        <w:rPr>
          <w:lang w:val="ru-RU"/>
        </w:rPr>
        <w:t>) и высокотеплопроводного наполнителя (</w:t>
      </w:r>
      <w:r w:rsidRPr="0047082C">
        <w:t>C</w:t>
      </w:r>
      <w:r w:rsidRPr="008B15D6">
        <w:rPr>
          <w:vertAlign w:val="subscript"/>
          <w:lang w:val="ru-RU"/>
        </w:rPr>
        <w:t>2</w:t>
      </w:r>
      <w:r w:rsidRPr="008B15D6">
        <w:rPr>
          <w:lang w:val="ru-RU"/>
        </w:rPr>
        <w:t xml:space="preserve">, </w:t>
      </w:r>
      <w:r w:rsidRPr="0047082C">
        <w:t>λ</w:t>
      </w:r>
      <w:r w:rsidRPr="008B15D6">
        <w:rPr>
          <w:vertAlign w:val="subscript"/>
          <w:lang w:val="ru-RU"/>
        </w:rPr>
        <w:t>2</w:t>
      </w:r>
      <w:r w:rsidRPr="008B15D6">
        <w:rPr>
          <w:lang w:val="ru-RU"/>
        </w:rPr>
        <w:t xml:space="preserve"> ,</w:t>
      </w:r>
      <w:r w:rsidRPr="0047082C">
        <w:t>ρ</w:t>
      </w:r>
      <w:r w:rsidRPr="008B15D6">
        <w:rPr>
          <w:vertAlign w:val="subscript"/>
          <w:lang w:val="ru-RU"/>
        </w:rPr>
        <w:t>2</w:t>
      </w:r>
      <w:r w:rsidRPr="008B15D6">
        <w:rPr>
          <w:lang w:val="ru-RU"/>
        </w:rPr>
        <w:t>).</w:t>
      </w:r>
    </w:p>
    <w:p w:rsidR="008B15D6" w:rsidRPr="00A30265" w:rsidRDefault="008B15D6" w:rsidP="008B15D6">
      <w:pPr>
        <w:pStyle w:val="Body"/>
        <w:rPr>
          <w:lang w:val="ru-RU"/>
        </w:rPr>
      </w:pPr>
      <w:r w:rsidRPr="00A30265">
        <w:rPr>
          <w:lang w:val="ru-RU"/>
        </w:rPr>
        <w:t xml:space="preserve">Для определения комплексного параметра температуропроводности </w:t>
      </w:r>
      <w:proofErr w:type="spellStart"/>
      <w:r w:rsidRPr="008B15D6">
        <w:rPr>
          <w:i/>
        </w:rPr>
        <w:t>a</w:t>
      </w:r>
      <w:r w:rsidRPr="008B15D6">
        <w:rPr>
          <w:vertAlign w:val="subscript"/>
        </w:rPr>
        <w:t>ef</w:t>
      </w:r>
      <w:proofErr w:type="spellEnd"/>
      <w:r w:rsidRPr="00A30265">
        <w:rPr>
          <w:lang w:val="ru-RU"/>
        </w:rPr>
        <w:t xml:space="preserve"> необходимо проанализировать процесс накопления-отдачи тепла в неоднородной системе парафиновая матрица с порошковым наполнителем, представив её в виде неоднородной системы определенной структуры [2, 3]. </w:t>
      </w:r>
      <w:r w:rsidRPr="008B15D6">
        <w:rPr>
          <w:lang w:val="ru-RU"/>
        </w:rPr>
        <w:t>Рассмотрены три модели структуры неоднородных систем с частицами высоко</w:t>
      </w:r>
      <w:r w:rsidRPr="008B15D6">
        <w:rPr>
          <w:lang w:val="ru-RU"/>
        </w:rPr>
        <w:softHyphen/>
        <w:t xml:space="preserve">теплопроводного наполнителя: модель с </w:t>
      </w:r>
      <w:proofErr w:type="spellStart"/>
      <w:r w:rsidRPr="008B15D6">
        <w:rPr>
          <w:lang w:val="ru-RU"/>
        </w:rPr>
        <w:t>неконтактирую</w:t>
      </w:r>
      <w:r w:rsidRPr="008B15D6">
        <w:rPr>
          <w:lang w:val="ru-RU"/>
        </w:rPr>
        <w:softHyphen/>
        <w:t>щими</w:t>
      </w:r>
      <w:proofErr w:type="spellEnd"/>
      <w:r w:rsidRPr="008B15D6">
        <w:rPr>
          <w:lang w:val="ru-RU"/>
        </w:rPr>
        <w:t xml:space="preserve"> частицами, модель свободной засыпки частиц наполнителя, модель полимерного компаунда. </w:t>
      </w:r>
      <w:r w:rsidRPr="00A30265">
        <w:rPr>
          <w:lang w:val="ru-RU"/>
        </w:rPr>
        <w:t>Четвёртая модель описывает пенокаркас из высокотеплопроводного металла с сообщающимися порами, заполненными парафином [3].</w:t>
      </w:r>
    </w:p>
    <w:p w:rsidR="008B15D6" w:rsidRPr="008B15D6" w:rsidRDefault="008B15D6" w:rsidP="008B15D6">
      <w:pPr>
        <w:pStyle w:val="Body"/>
        <w:rPr>
          <w:lang w:val="ru-RU"/>
        </w:rPr>
      </w:pPr>
      <w:r w:rsidRPr="008B15D6">
        <w:rPr>
          <w:lang w:val="ru-RU"/>
        </w:rPr>
        <w:t xml:space="preserve">Оценив диапазон возможного изменения теплофизических свойств </w:t>
      </w:r>
      <w:r w:rsidRPr="008B15D6">
        <w:rPr>
          <w:szCs w:val="24"/>
          <w:lang w:val="el-GR"/>
        </w:rPr>
        <w:t>λ</w:t>
      </w:r>
      <w:proofErr w:type="spellStart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lang w:val="ru-RU"/>
        </w:rPr>
        <w:t>, с</w:t>
      </w:r>
      <w:proofErr w:type="spellStart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lang w:val="ru-RU"/>
        </w:rPr>
        <w:t xml:space="preserve">, </w:t>
      </w:r>
      <w:r w:rsidRPr="008B15D6">
        <w:rPr>
          <w:szCs w:val="24"/>
          <w:lang w:val="el-GR"/>
        </w:rPr>
        <w:t>ρ</w:t>
      </w:r>
      <w:proofErr w:type="spellStart"/>
      <w:r w:rsidRPr="008B15D6">
        <w:rPr>
          <w:szCs w:val="24"/>
          <w:vertAlign w:val="subscript"/>
        </w:rPr>
        <w:t>ef</w:t>
      </w:r>
      <w:proofErr w:type="spellEnd"/>
      <w:r w:rsidRPr="008B15D6">
        <w:rPr>
          <w:szCs w:val="24"/>
          <w:vertAlign w:val="subscript"/>
          <w:lang w:val="ru-RU"/>
        </w:rPr>
        <w:t xml:space="preserve">, </w:t>
      </w:r>
      <w:proofErr w:type="spellStart"/>
      <w:r w:rsidRPr="008B15D6">
        <w:rPr>
          <w:i/>
          <w:szCs w:val="24"/>
        </w:rPr>
        <w:t>a</w:t>
      </w:r>
      <w:r w:rsidRPr="008B15D6">
        <w:rPr>
          <w:szCs w:val="24"/>
          <w:vertAlign w:val="subscript"/>
        </w:rPr>
        <w:t>ef</w:t>
      </w:r>
      <w:proofErr w:type="spellEnd"/>
      <w:r w:rsidRPr="008B15D6">
        <w:rPr>
          <w:sz w:val="28"/>
          <w:szCs w:val="28"/>
          <w:lang w:val="ru-RU"/>
        </w:rPr>
        <w:t xml:space="preserve"> </w:t>
      </w:r>
      <w:r w:rsidRPr="008B15D6">
        <w:rPr>
          <w:lang w:val="ru-RU"/>
        </w:rPr>
        <w:t xml:space="preserve">[4] можно выбрать оптимальные значения параметров в необходимом температурном диапазоне эксплуатации, разработать оптимальную программу экспериментальной проверки аналитических оценок и рекомендации к практическому использованию результатов исследований </w:t>
      </w:r>
    </w:p>
    <w:p w:rsidR="008B15D6" w:rsidRPr="00A30265" w:rsidRDefault="008B15D6" w:rsidP="008B15D6">
      <w:pPr>
        <w:pStyle w:val="Body"/>
        <w:rPr>
          <w:lang w:val="ru-RU"/>
        </w:rPr>
      </w:pPr>
      <w:r w:rsidRPr="00A30265">
        <w:rPr>
          <w:lang w:val="ru-RU"/>
        </w:rPr>
        <w:t>Работа выполнена при поддержке гранта Университета ИТМО №620150</w:t>
      </w:r>
    </w:p>
    <w:p w:rsidR="008B15D6" w:rsidRPr="0047082C" w:rsidRDefault="008B15D6" w:rsidP="008B15D6">
      <w:pPr>
        <w:pStyle w:val="Subheader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литературы</w:t>
      </w:r>
      <w:proofErr w:type="spellEnd"/>
    </w:p>
    <w:p w:rsidR="008B15D6" w:rsidRPr="0047082C" w:rsidRDefault="008B15D6" w:rsidP="008B15D6">
      <w:pPr>
        <w:pStyle w:val="References"/>
      </w:pPr>
      <w:bookmarkStart w:id="1" w:name="_Ref199121926"/>
      <w:r w:rsidRPr="00592F3B">
        <w:t>http://government.ru/docs/32368/</w:t>
      </w:r>
      <w:r w:rsidRPr="0047082C">
        <w:t xml:space="preserve"> - сайт правительства РФ. Основные документы по энергосбережению и </w:t>
      </w:r>
      <w:proofErr w:type="spellStart"/>
      <w:r w:rsidRPr="0047082C">
        <w:t>энергоэффективности</w:t>
      </w:r>
      <w:proofErr w:type="spellEnd"/>
    </w:p>
    <w:bookmarkEnd w:id="1"/>
    <w:p w:rsidR="008B15D6" w:rsidRPr="0047082C" w:rsidRDefault="008B15D6" w:rsidP="008B15D6">
      <w:pPr>
        <w:pStyle w:val="References"/>
        <w:rPr>
          <w:lang w:val="en-US"/>
        </w:rPr>
      </w:pPr>
      <w:proofErr w:type="spellStart"/>
      <w:r w:rsidRPr="0047082C">
        <w:lastRenderedPageBreak/>
        <w:t>Bondareva</w:t>
      </w:r>
      <w:proofErr w:type="spellEnd"/>
      <w:r w:rsidRPr="0047082C">
        <w:t xml:space="preserve"> N.S., </w:t>
      </w:r>
      <w:proofErr w:type="spellStart"/>
      <w:r w:rsidRPr="0047082C">
        <w:t>Buonomo</w:t>
      </w:r>
      <w:proofErr w:type="spellEnd"/>
      <w:r w:rsidRPr="0047082C">
        <w:t xml:space="preserve"> B., </w:t>
      </w:r>
      <w:proofErr w:type="spellStart"/>
      <w:r w:rsidRPr="0047082C">
        <w:t>Manca</w:t>
      </w:r>
      <w:proofErr w:type="spellEnd"/>
      <w:r w:rsidRPr="0047082C">
        <w:t xml:space="preserve"> O., </w:t>
      </w:r>
      <w:proofErr w:type="spellStart"/>
      <w:r w:rsidRPr="0047082C">
        <w:t>Sheremet</w:t>
      </w:r>
      <w:proofErr w:type="spellEnd"/>
      <w:r w:rsidRPr="0047082C">
        <w:t xml:space="preserve"> M.A. //  </w:t>
      </w:r>
      <w:proofErr w:type="spellStart"/>
      <w:r w:rsidRPr="0047082C">
        <w:t>Applied</w:t>
      </w:r>
      <w:proofErr w:type="spellEnd"/>
      <w:r w:rsidRPr="0047082C">
        <w:t> </w:t>
      </w:r>
      <w:proofErr w:type="spellStart"/>
      <w:r w:rsidRPr="0047082C">
        <w:t>Thermal</w:t>
      </w:r>
      <w:proofErr w:type="spellEnd"/>
      <w:r w:rsidRPr="0047082C">
        <w:t> </w:t>
      </w:r>
      <w:proofErr w:type="spellStart"/>
      <w:r w:rsidRPr="0047082C">
        <w:t>Engineering</w:t>
      </w:r>
      <w:proofErr w:type="spellEnd"/>
      <w:r w:rsidRPr="0047082C">
        <w:t xml:space="preserve">. </w:t>
      </w:r>
      <w:r w:rsidRPr="0047082C">
        <w:rPr>
          <w:lang w:val="en-US"/>
        </w:rPr>
        <w:t>2018. 144. P. 972-981.</w:t>
      </w:r>
    </w:p>
    <w:p w:rsidR="008B15D6" w:rsidRPr="008B15D6" w:rsidRDefault="008B15D6" w:rsidP="008B15D6">
      <w:pPr>
        <w:pStyle w:val="References"/>
      </w:pPr>
      <w:r w:rsidRPr="0047082C">
        <w:t xml:space="preserve">Xiao X., Zhang P., Li M. // International Journal of Thermal Sciences. </w:t>
      </w:r>
      <w:r w:rsidRPr="008B15D6">
        <w:t>2014. 81. P. 94-105</w:t>
      </w:r>
    </w:p>
    <w:p w:rsidR="008B15D6" w:rsidRPr="008B15D6" w:rsidRDefault="008B15D6" w:rsidP="008B15D6">
      <w:pPr>
        <w:pStyle w:val="References"/>
      </w:pPr>
      <w:proofErr w:type="spellStart"/>
      <w:r w:rsidRPr="008B15D6">
        <w:t>Pietrak</w:t>
      </w:r>
      <w:proofErr w:type="spellEnd"/>
      <w:r w:rsidRPr="008B15D6">
        <w:t xml:space="preserve"> K., </w:t>
      </w:r>
      <w:proofErr w:type="spellStart"/>
      <w:r w:rsidRPr="008B15D6">
        <w:t>Wisnievski</w:t>
      </w:r>
      <w:proofErr w:type="spellEnd"/>
      <w:r w:rsidRPr="008B15D6">
        <w:t xml:space="preserve"> T. // </w:t>
      </w:r>
      <w:proofErr w:type="spellStart"/>
      <w:r w:rsidRPr="008B15D6">
        <w:t>Journ</w:t>
      </w:r>
      <w:proofErr w:type="spellEnd"/>
      <w:r w:rsidRPr="008B15D6">
        <w:t xml:space="preserve">. of Power Technologies. 2015. 95. P. 14-24. </w:t>
      </w:r>
    </w:p>
    <w:sectPr w:rsidR="008B15D6" w:rsidRPr="008B15D6" w:rsidSect="008B15D6">
      <w:pgSz w:w="8392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7">
      <wne:acd wne:acdName="acd7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  <wne:acd wne:argValue="AgBJAG0AYQBnAGU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256E0"/>
    <w:rsid w:val="00045FFD"/>
    <w:rsid w:val="00065005"/>
    <w:rsid w:val="00094CC0"/>
    <w:rsid w:val="001920CC"/>
    <w:rsid w:val="002357EC"/>
    <w:rsid w:val="002C1908"/>
    <w:rsid w:val="00384CC2"/>
    <w:rsid w:val="00385A86"/>
    <w:rsid w:val="0039496E"/>
    <w:rsid w:val="004B5899"/>
    <w:rsid w:val="00541501"/>
    <w:rsid w:val="00550477"/>
    <w:rsid w:val="00581ADF"/>
    <w:rsid w:val="00592F3B"/>
    <w:rsid w:val="00600358"/>
    <w:rsid w:val="00667DBB"/>
    <w:rsid w:val="006C193D"/>
    <w:rsid w:val="006E0298"/>
    <w:rsid w:val="00737570"/>
    <w:rsid w:val="00752017"/>
    <w:rsid w:val="00765204"/>
    <w:rsid w:val="007E492E"/>
    <w:rsid w:val="008B15D6"/>
    <w:rsid w:val="009503C4"/>
    <w:rsid w:val="00984316"/>
    <w:rsid w:val="009A2A72"/>
    <w:rsid w:val="00A2307D"/>
    <w:rsid w:val="00A2663C"/>
    <w:rsid w:val="00A30265"/>
    <w:rsid w:val="00A37485"/>
    <w:rsid w:val="00A67995"/>
    <w:rsid w:val="00A7425B"/>
    <w:rsid w:val="00A805F0"/>
    <w:rsid w:val="00A86785"/>
    <w:rsid w:val="00A87E4B"/>
    <w:rsid w:val="00AA3931"/>
    <w:rsid w:val="00AC3132"/>
    <w:rsid w:val="00AE3F48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9447D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 w:cs="Times New Roman"/>
      <w:bCs/>
      <w:iCs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550477"/>
    <w:pPr>
      <w:spacing w:after="120"/>
      <w:ind w:firstLine="0"/>
      <w:jc w:val="center"/>
    </w:pPr>
    <w:rPr>
      <w:rFonts w:eastAsia="MS Mincho"/>
      <w:bCs/>
      <w:i/>
      <w:sz w:val="24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550477"/>
    <w:rPr>
      <w:rFonts w:ascii="Times New Roman" w:eastAsia="MS Mincho" w:hAnsi="Times New Roman"/>
      <w:bCs/>
      <w:i/>
      <w:sz w:val="24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Body"/>
    <w:link w:val="References0"/>
    <w:uiPriority w:val="3"/>
    <w:rsid w:val="00A2663C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A2663C"/>
    <w:rPr>
      <w:rFonts w:ascii="Times New Roman" w:eastAsia="MS Mincho" w:hAnsi="Times New Roman" w:cs="Times New Roman"/>
      <w:bCs/>
      <w:iCs/>
      <w:sz w:val="24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2663C"/>
    <w:pPr>
      <w:tabs>
        <w:tab w:val="left" w:pos="1418"/>
      </w:tabs>
      <w:spacing w:after="120" w:line="240" w:lineRule="auto"/>
      <w:jc w:val="center"/>
    </w:pPr>
    <w:rPr>
      <w:rFonts w:ascii="Cambria" w:eastAsia="MS Mincho" w:hAnsi="Cambria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2663C"/>
    <w:rPr>
      <w:rFonts w:ascii="Cambria" w:eastAsia="MS Mincho" w:hAnsi="Cambria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550477"/>
    <w:pPr>
      <w:spacing w:after="120"/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550477"/>
    <w:rPr>
      <w:rFonts w:ascii="Times New Roman" w:eastAsia="Times New Roman" w:hAnsi="Times New Roman"/>
      <w:b w:val="0"/>
      <w:bCs w:val="0"/>
      <w:color w:val="000000"/>
      <w:sz w:val="24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rsid w:val="00A2663C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065005"/>
    <w:pPr>
      <w:spacing w:before="120" w:after="120"/>
      <w:jc w:val="left"/>
    </w:pPr>
    <w:rPr>
      <w:b/>
    </w:rPr>
  </w:style>
  <w:style w:type="paragraph" w:customStyle="1" w:styleId="Image">
    <w:name w:val="Image"/>
    <w:basedOn w:val="Body"/>
    <w:rsid w:val="009503C4"/>
    <w:pPr>
      <w:spacing w:before="120"/>
      <w:ind w:firstLine="0"/>
      <w:jc w:val="center"/>
    </w:pPr>
  </w:style>
  <w:style w:type="paragraph" w:customStyle="1" w:styleId="Bodynonindent">
    <w:name w:val="Body_non_indent"/>
    <w:basedOn w:val="Body"/>
    <w:rsid w:val="009A2A72"/>
    <w:pPr>
      <w:ind w:firstLine="0"/>
    </w:pPr>
    <w:rPr>
      <w:noProof/>
      <w:lang w:val="ru-RU" w:eastAsia="ru-RU"/>
    </w:rPr>
  </w:style>
  <w:style w:type="paragraph" w:customStyle="1" w:styleId="Formula">
    <w:name w:val="Formula"/>
    <w:basedOn w:val="Body"/>
    <w:rsid w:val="009A2A72"/>
    <w:pPr>
      <w:ind w:firstLine="0"/>
      <w:jc w:val="center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59B0-06F8-4437-854D-EFA37635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20</cp:revision>
  <dcterms:created xsi:type="dcterms:W3CDTF">2021-03-10T14:17:00Z</dcterms:created>
  <dcterms:modified xsi:type="dcterms:W3CDTF">2021-03-22T10:36:00Z</dcterms:modified>
</cp:coreProperties>
</file>