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4C" w:rsidRPr="005A6DF0" w:rsidRDefault="0036624C" w:rsidP="0036624C">
      <w:pPr>
        <w:pStyle w:val="Headers"/>
      </w:pPr>
      <w:r w:rsidRPr="005A6DF0">
        <w:t xml:space="preserve">Профессиональные риски на объектах </w:t>
      </w:r>
      <w:proofErr w:type="spellStart"/>
      <w:r w:rsidRPr="005A6DF0">
        <w:t>нефтегазодобычи</w:t>
      </w:r>
      <w:proofErr w:type="spellEnd"/>
      <w:r w:rsidRPr="005A6DF0">
        <w:t xml:space="preserve"> Иркутской области</w:t>
      </w:r>
    </w:p>
    <w:p w:rsidR="0036624C" w:rsidRPr="005A6DF0" w:rsidRDefault="0036624C" w:rsidP="0036624C">
      <w:pPr>
        <w:pStyle w:val="Authors"/>
      </w:pPr>
      <w:r w:rsidRPr="005A6DF0">
        <w:t>С.С. Тимофеева, Н.А. Попова</w:t>
      </w:r>
    </w:p>
    <w:p w:rsidR="0036624C" w:rsidRPr="005A6DF0" w:rsidRDefault="0036624C" w:rsidP="0036624C">
      <w:pPr>
        <w:pStyle w:val="Affilation"/>
      </w:pPr>
      <w:r w:rsidRPr="005A6DF0">
        <w:t xml:space="preserve">ФГБОУ ВО «Иркутский национальный исследовательский технический университет», 664074, г. Иркутск, ул. Лермонтова, 83 </w:t>
      </w:r>
    </w:p>
    <w:p w:rsidR="0036624C" w:rsidRPr="005A6DF0" w:rsidRDefault="0036624C" w:rsidP="0036624C">
      <w:pPr>
        <w:pStyle w:val="Body"/>
      </w:pPr>
      <w:r w:rsidRPr="005A6DF0">
        <w:t xml:space="preserve">Риск-ориентированный подход, внедряемый в настоящее время на объектах нефтедобычи, предполагает определение категорий и критериев риска, </w:t>
      </w:r>
      <w:proofErr w:type="gramStart"/>
      <w:r w:rsidRPr="005A6DF0">
        <w:t>периодическую  переоценку</w:t>
      </w:r>
      <w:proofErr w:type="gramEnd"/>
      <w:r w:rsidRPr="005A6DF0">
        <w:t xml:space="preserve"> риска на основе актуализированных нормативно - правовых  документов.  </w:t>
      </w:r>
    </w:p>
    <w:p w:rsidR="0036624C" w:rsidRPr="005A6DF0" w:rsidRDefault="0036624C" w:rsidP="0036624C">
      <w:pPr>
        <w:pStyle w:val="Body"/>
      </w:pPr>
      <w:r w:rsidRPr="005A6DF0">
        <w:t xml:space="preserve">Целью настоящей работы является анализ системы управления профессиональных рисков и мероприятий по их минимизации с использованием нововведений и инновационных решений на объектах нефтедобычи в Иркутской области. </w:t>
      </w:r>
    </w:p>
    <w:p w:rsidR="0036624C" w:rsidRPr="005A6DF0" w:rsidRDefault="0036624C" w:rsidP="0036624C">
      <w:pPr>
        <w:pStyle w:val="Body"/>
      </w:pPr>
      <w:r w:rsidRPr="005A6DF0">
        <w:t xml:space="preserve">В настоящее время Иркутская область является лидером по темпам роста добычи нефти. Объектом исследования </w:t>
      </w:r>
      <w:proofErr w:type="gramStart"/>
      <w:r w:rsidRPr="005A6DF0">
        <w:t>явились  условия</w:t>
      </w:r>
      <w:proofErr w:type="gramEnd"/>
      <w:r w:rsidRPr="005A6DF0">
        <w:t xml:space="preserve"> труда и профессиональные риски на объектах нефтедобычи двух ведущих нефтяных компаний в Иркутской области: Иркутский филиал «ООО «Газпром бурение» (</w:t>
      </w:r>
      <w:proofErr w:type="spellStart"/>
      <w:r w:rsidRPr="005A6DF0">
        <w:t>Ковыктинское</w:t>
      </w:r>
      <w:proofErr w:type="spellEnd"/>
      <w:r w:rsidRPr="005A6DF0">
        <w:t xml:space="preserve"> газоконденсатное месторождение – </w:t>
      </w:r>
      <w:proofErr w:type="spellStart"/>
      <w:r w:rsidRPr="005A6DF0">
        <w:t>Жигаловский</w:t>
      </w:r>
      <w:proofErr w:type="spellEnd"/>
      <w:r w:rsidRPr="005A6DF0">
        <w:t xml:space="preserve"> район) и Иркутский филиал ООО «РН-Бурение» (лицензионный участок №71 </w:t>
      </w:r>
      <w:proofErr w:type="spellStart"/>
      <w:r w:rsidRPr="005A6DF0">
        <w:t>Даниловский</w:t>
      </w:r>
      <w:proofErr w:type="spellEnd"/>
      <w:r w:rsidRPr="005A6DF0">
        <w:t xml:space="preserve"> на расстоянии 530 км от с. </w:t>
      </w:r>
      <w:proofErr w:type="spellStart"/>
      <w:r w:rsidRPr="005A6DF0">
        <w:t>Ербогачён</w:t>
      </w:r>
      <w:proofErr w:type="spellEnd"/>
      <w:r w:rsidRPr="005A6DF0">
        <w:t xml:space="preserve"> </w:t>
      </w:r>
      <w:proofErr w:type="spellStart"/>
      <w:r w:rsidRPr="005A6DF0">
        <w:t>Катангского</w:t>
      </w:r>
      <w:proofErr w:type="spellEnd"/>
      <w:r w:rsidRPr="005A6DF0">
        <w:t xml:space="preserve"> района). </w:t>
      </w:r>
    </w:p>
    <w:p w:rsidR="0036624C" w:rsidRPr="005A6DF0" w:rsidRDefault="0036624C" w:rsidP="0036624C">
      <w:pPr>
        <w:pStyle w:val="Body"/>
      </w:pPr>
      <w:r w:rsidRPr="005A6DF0">
        <w:t xml:space="preserve">В работе </w:t>
      </w:r>
      <w:proofErr w:type="gramStart"/>
      <w:r w:rsidRPr="005A6DF0">
        <w:t>оценивали  риски</w:t>
      </w:r>
      <w:proofErr w:type="gramEnd"/>
      <w:r w:rsidRPr="005A6DF0">
        <w:t xml:space="preserve">,  на основе материалов обязательной для всех процедуры специальной оценки условий труда, основных профессий, участвующих в добыче углеводородного сырья. На работников буровых установок Иркутских филиалов ООО «Газпром бурение» и ООО «РН-Бурение» действует комплекс производственных факторов (химические вещества, шум, вибрация, неблагоприятный микроклимат и др.). Факторы могут изменяться в широком диапазоне в течение смены и часто превышать предельно допустимые величины. </w:t>
      </w:r>
    </w:p>
    <w:p w:rsidR="0036624C" w:rsidRPr="005A6DF0" w:rsidRDefault="0036624C" w:rsidP="0036624C">
      <w:pPr>
        <w:pStyle w:val="Body"/>
      </w:pPr>
      <w:r w:rsidRPr="005A6DF0">
        <w:t>Общая оценка условий труда на рабочих местах этих профессий характеризуется вредным третьим классом с разной степенью вредности. При оценке негативного воздействия были выявлены основные источники загрязнения: силовые агрегаты БУ (буровой установки), работа автотранспорта и дорожной техники, дизель-генераторная станция АСДА-100, электростанции, сварочные работы, факел, склады ГСМ и др.</w:t>
      </w:r>
    </w:p>
    <w:p w:rsidR="0036624C" w:rsidRPr="005A6DF0" w:rsidRDefault="0036624C" w:rsidP="0036624C">
      <w:pPr>
        <w:pStyle w:val="Body"/>
      </w:pPr>
      <w:r w:rsidRPr="005A6DF0">
        <w:t>Обобщенный уровень безопасности на каждом рабочем месте равен произведению всех уровней безопасности по каждому фактору производственной среды для отдельно взятой профессии.</w:t>
      </w:r>
    </w:p>
    <w:p w:rsidR="0036624C" w:rsidRPr="005A6DF0" w:rsidRDefault="0036624C" w:rsidP="0036624C">
      <w:pPr>
        <w:pStyle w:val="Body"/>
      </w:pPr>
      <w:r w:rsidRPr="005A6DF0">
        <w:t>В результате расчетов получены средние значения обобщенных уровней профессионального риска для Иркутских филиалов ООО «Газпром бурение» и ООО «РН-Бурение» (рис. 1).  По результатам произведенной оценки рисков было выявлено, что уровни риска исследуемых профессий относятся к категориям высоких и средних.</w:t>
      </w:r>
    </w:p>
    <w:p w:rsidR="0036624C" w:rsidRPr="005A6DF0" w:rsidRDefault="0036624C" w:rsidP="0036624C">
      <w:pPr>
        <w:pStyle w:val="Image"/>
      </w:pPr>
      <w:r w:rsidRPr="005A6DF0">
        <w:drawing>
          <wp:inline distT="0" distB="0" distL="0" distR="0" wp14:anchorId="7DF605CE" wp14:editId="6249A6E5">
            <wp:extent cx="4369982" cy="1913860"/>
            <wp:effectExtent l="0" t="0" r="1206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36624C" w:rsidRPr="005A6DF0" w:rsidRDefault="0036624C" w:rsidP="0036624C">
      <w:pPr>
        <w:pStyle w:val="Body"/>
      </w:pPr>
      <w:r w:rsidRPr="005A6DF0">
        <w:t>Рис.1 Значения обобщенных уровней профессионального риска для каждой профессии при ведении работ:</w:t>
      </w:r>
    </w:p>
    <w:p w:rsidR="0036624C" w:rsidRPr="005A6DF0" w:rsidRDefault="0036624C" w:rsidP="0036624C">
      <w:pPr>
        <w:pStyle w:val="Body"/>
      </w:pPr>
      <w:proofErr w:type="gramStart"/>
      <w:r w:rsidRPr="005A6DF0">
        <w:lastRenderedPageBreak/>
        <w:t xml:space="preserve">1 - бурильщик эксплуатационного и разведочного бурения скважин на нефть и газ при бурении скважин, 2 - помощник бурильщика эксплуатационного и разведочного бурения скважин на нефть и газ при бурении скважин, 3 - слесарь по обслуживанию буровых установок эксплуатационного и разведочного бурения на нефть и газ, 4 - электромонтер по обслуживанию буровых установок эксплуатационного и разведочного бурения на нефть и газ, 5 - </w:t>
      </w:r>
      <w:proofErr w:type="spellStart"/>
      <w:r w:rsidRPr="005A6DF0">
        <w:t>вышкомонтажник</w:t>
      </w:r>
      <w:proofErr w:type="spellEnd"/>
      <w:r w:rsidRPr="005A6DF0">
        <w:t>, 6- мастер буровой, 7- супервайзер, 8- помощник мастера бурового</w:t>
      </w:r>
      <w:proofErr w:type="gramEnd"/>
    </w:p>
    <w:p w:rsidR="0036624C" w:rsidRPr="0036624C" w:rsidRDefault="0036624C" w:rsidP="0036624C">
      <w:pPr>
        <w:pStyle w:val="Body"/>
        <w:rPr>
          <w:lang w:val="ru-RU"/>
        </w:rPr>
      </w:pPr>
      <w:r w:rsidRPr="0036624C">
        <w:rPr>
          <w:lang w:val="ru-RU"/>
        </w:rPr>
        <w:t>Установлено, что неприемлемыми являются негативные воздействия движущихся машин и механизмов, общая вибрация, шум, пониженные температуры воздуха (в зимний период времени).</w:t>
      </w:r>
    </w:p>
    <w:p w:rsidR="0036624C" w:rsidRPr="005A6DF0" w:rsidRDefault="0036624C" w:rsidP="0036624C">
      <w:pPr>
        <w:pStyle w:val="Body"/>
      </w:pPr>
      <w:proofErr w:type="spellStart"/>
      <w:r w:rsidRPr="005A6DF0">
        <w:t>Для</w:t>
      </w:r>
      <w:proofErr w:type="spellEnd"/>
      <w:r w:rsidRPr="005A6DF0">
        <w:t xml:space="preserve"> </w:t>
      </w:r>
      <w:proofErr w:type="spellStart"/>
      <w:r w:rsidRPr="005A6DF0">
        <w:t>минимизации</w:t>
      </w:r>
      <w:proofErr w:type="spellEnd"/>
      <w:r w:rsidRPr="005A6DF0">
        <w:t xml:space="preserve"> </w:t>
      </w:r>
      <w:proofErr w:type="spellStart"/>
      <w:r w:rsidRPr="005A6DF0">
        <w:t>рисков</w:t>
      </w:r>
      <w:proofErr w:type="spellEnd"/>
      <w:r w:rsidRPr="005A6DF0">
        <w:t xml:space="preserve"> </w:t>
      </w:r>
      <w:proofErr w:type="spellStart"/>
      <w:r w:rsidRPr="005A6DF0">
        <w:t>предложено</w:t>
      </w:r>
      <w:proofErr w:type="spellEnd"/>
      <w:r w:rsidRPr="005A6DF0">
        <w:t xml:space="preserve"> внедрить на исследуемых буровых  установках систему управления опасными зонами «Красные зоны» - «</w:t>
      </w:r>
      <w:proofErr w:type="spellStart"/>
      <w:r w:rsidRPr="005A6DF0">
        <w:t>Red</w:t>
      </w:r>
      <w:proofErr w:type="spellEnd"/>
      <w:r w:rsidRPr="005A6DF0">
        <w:t xml:space="preserve"> </w:t>
      </w:r>
      <w:proofErr w:type="spellStart"/>
      <w:r w:rsidRPr="005A6DF0">
        <w:t>zone</w:t>
      </w:r>
      <w:proofErr w:type="spellEnd"/>
      <w:r w:rsidRPr="005A6DF0">
        <w:t xml:space="preserve"> </w:t>
      </w:r>
      <w:proofErr w:type="spellStart"/>
      <w:r w:rsidRPr="005A6DF0">
        <w:t>management</w:t>
      </w:r>
      <w:proofErr w:type="spellEnd"/>
      <w:r w:rsidRPr="005A6DF0">
        <w:t>»,  предназначенную для снижения риска падения предметов, контакта с движущимися механизмами, высокого давления, воздействия химикатов и бурового раствора, а также ограничения попадания сотрудников в опасные зоны с наиболее высоким уровнем риска получения травм и летальных исходов.</w:t>
      </w:r>
    </w:p>
    <w:p w:rsidR="0036624C" w:rsidRPr="005A6DF0" w:rsidRDefault="0036624C" w:rsidP="0036624C">
      <w:pPr>
        <w:pStyle w:val="Subheader"/>
      </w:pPr>
      <w:r w:rsidRPr="005A6DF0">
        <w:t>Список литературы</w:t>
      </w:r>
    </w:p>
    <w:p w:rsidR="0036624C" w:rsidRPr="005A6DF0" w:rsidRDefault="0036624C" w:rsidP="0036624C">
      <w:pPr>
        <w:pStyle w:val="References"/>
      </w:pPr>
      <w:r w:rsidRPr="005A6DF0">
        <w:t>Мартынов А.В. // Юрист. 2016. №18. С. 22-27.</w:t>
      </w:r>
    </w:p>
    <w:p w:rsidR="0036624C" w:rsidRPr="005A6DF0" w:rsidRDefault="0036624C" w:rsidP="0036624C">
      <w:pPr>
        <w:pStyle w:val="References"/>
      </w:pPr>
      <w:r w:rsidRPr="005A6DF0">
        <w:t>Конторович А.Э., Бурштейн Л.М., Лившиц В.Р., Рыж-</w:t>
      </w:r>
      <w:r w:rsidRPr="005A6DF0">
        <w:br/>
      </w:r>
      <w:proofErr w:type="spellStart"/>
      <w:r w:rsidRPr="005A6DF0">
        <w:t>кова</w:t>
      </w:r>
      <w:proofErr w:type="spellEnd"/>
      <w:r w:rsidRPr="005A6DF0">
        <w:t xml:space="preserve"> С.В. // Вестник Российской академии наук. 2019. Т. 89. № 11. С. 1095–1104.</w:t>
      </w:r>
    </w:p>
    <w:p w:rsidR="0036624C" w:rsidRPr="005A6DF0" w:rsidRDefault="0036624C" w:rsidP="0036624C">
      <w:pPr>
        <w:pStyle w:val="References"/>
      </w:pPr>
      <w:r w:rsidRPr="005A6DF0">
        <w:t xml:space="preserve">Филимонова И.В., </w:t>
      </w:r>
      <w:proofErr w:type="spellStart"/>
      <w:r w:rsidRPr="005A6DF0">
        <w:t>Немов</w:t>
      </w:r>
      <w:proofErr w:type="spellEnd"/>
      <w:r w:rsidRPr="005A6DF0">
        <w:t xml:space="preserve"> В.Ю., Мишенин М.В., Проворная И.В. // Минеральные ресурсы России. Экономика и управление. 2019. № 4 (167). С. 52–62.</w:t>
      </w:r>
    </w:p>
    <w:p w:rsidR="0036624C" w:rsidRPr="005A6DF0" w:rsidRDefault="0036624C" w:rsidP="0036624C">
      <w:pPr>
        <w:pStyle w:val="References"/>
      </w:pPr>
      <w:r w:rsidRPr="005A6DF0">
        <w:t xml:space="preserve">Филимонова И.В., </w:t>
      </w:r>
      <w:proofErr w:type="spellStart"/>
      <w:r w:rsidRPr="005A6DF0">
        <w:t>Эдер</w:t>
      </w:r>
      <w:proofErr w:type="spellEnd"/>
      <w:r w:rsidRPr="005A6DF0">
        <w:t xml:space="preserve"> Л.В., </w:t>
      </w:r>
      <w:proofErr w:type="spellStart"/>
      <w:r w:rsidRPr="005A6DF0">
        <w:t>Немов</w:t>
      </w:r>
      <w:proofErr w:type="spellEnd"/>
      <w:r w:rsidRPr="005A6DF0">
        <w:t xml:space="preserve"> В.Ю., Проворная И.В. // Бурение и нефть. 2019. № 7–8. С. 9–19.</w:t>
      </w:r>
    </w:p>
    <w:p w:rsidR="0036624C" w:rsidRPr="005A6DF0" w:rsidRDefault="0036624C" w:rsidP="0036624C">
      <w:pPr>
        <w:pStyle w:val="References"/>
      </w:pPr>
      <w:r w:rsidRPr="005A6DF0">
        <w:t xml:space="preserve">Тимофеева С.С. // XXI век. </w:t>
      </w:r>
      <w:proofErr w:type="spellStart"/>
      <w:r w:rsidRPr="005A6DF0">
        <w:t>Техносферная</w:t>
      </w:r>
      <w:proofErr w:type="spellEnd"/>
      <w:r w:rsidRPr="005A6DF0">
        <w:t xml:space="preserve"> безопасность. 2016. №1 (1). С. 14-23.</w:t>
      </w:r>
    </w:p>
    <w:p w:rsidR="0036624C" w:rsidRPr="005A6DF0" w:rsidRDefault="0036624C" w:rsidP="0036624C">
      <w:pPr>
        <w:pStyle w:val="References"/>
      </w:pPr>
      <w:r w:rsidRPr="005A6DF0">
        <w:t xml:space="preserve">Солодовников А.В. , </w:t>
      </w:r>
      <w:proofErr w:type="spellStart"/>
      <w:r w:rsidRPr="005A6DF0">
        <w:t>Махнёва</w:t>
      </w:r>
      <w:proofErr w:type="spellEnd"/>
      <w:r w:rsidRPr="005A6DF0">
        <w:t xml:space="preserve"> А. Н. // Технологии нефти и газа. 2018. №2 (215). С. 54-53.</w:t>
      </w:r>
    </w:p>
    <w:sectPr w:rsidR="0036624C" w:rsidRPr="005A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3"/>
    </wne:keymap>
    <wne:keymap wne:kcmPrimary="0231">
      <wne:acd wne:acdName="acd5"/>
    </wne:keymap>
    <wne:keymap wne:kcmPrimary="0232">
      <wne:acd wne:acdName="acd1"/>
    </wne:keymap>
    <wne:keymap wne:kcmPrimary="0233">
      <wne:acd wne:acdName="acd2"/>
    </wne:keymap>
    <wne:keymap wne:kcmPrimary="0237">
      <wne:acd wne:acdName="acd7"/>
    </wne:keymap>
    <wne:keymap wne:kcmPrimary="0238">
      <wne:acd wne:acdName="acd6"/>
    </wne:keymap>
    <wne:keymap wne:kcmPrimary="023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IndexBasedOn="0065"/>
    <wne:acd wne:argValue="AgBBAHUAdABoAG8AcgBzAA==" wne:acdName="acd1" wne:fciIndexBasedOn="0065"/>
    <wne:acd wne:argValue="AgBBAGYAZgBpAGwAYQB0AGkAbwBuAA==" wne:acdName="acd2" wne:fciIndexBasedOn="0065"/>
    <wne:acd wne:argValue="AgBCAG8AZAB5AA==" wne:acdName="acd3" wne:fciIndexBasedOn="0065"/>
    <wne:acd wne:argValue="AgBSAGUAZgBlAHIAZQBuAGMAZQBzAA==" wne:acdName="acd4" wne:fciIndexBasedOn="0065"/>
    <wne:acd wne:argValue="AgBIAGUAYQBkAGUAcgBzAA==" wne:acdName="acd5" wne:fciIndexBasedOn="0065"/>
    <wne:acd wne:argValue="AgBTAHUAYgBoAGUAYQBkAGUAcgA=" wne:acdName="acd6" wne:fciIndexBasedOn="0065"/>
    <wne:acd wne:argValue="AgBJAG0AYQBnAGUA" wne:acdName="acd7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E8E6D9F"/>
    <w:multiLevelType w:val="hybridMultilevel"/>
    <w:tmpl w:val="DFD82414"/>
    <w:lvl w:ilvl="0" w:tplc="BA5A9E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24DD8"/>
    <w:multiLevelType w:val="hybridMultilevel"/>
    <w:tmpl w:val="567EBB12"/>
    <w:lvl w:ilvl="0" w:tplc="2390C962">
      <w:start w:val="1"/>
      <w:numFmt w:val="decimal"/>
      <w:pStyle w:val="References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tTSwtDAxNzMwNzJV0lEKTi0uzszPAykwrAUAtCfsjCwAAAA="/>
  </w:docVars>
  <w:rsids>
    <w:rsidRoot w:val="00384CC2"/>
    <w:rsid w:val="00045FFD"/>
    <w:rsid w:val="00065005"/>
    <w:rsid w:val="00094CC0"/>
    <w:rsid w:val="001920CC"/>
    <w:rsid w:val="002357EC"/>
    <w:rsid w:val="002C1908"/>
    <w:rsid w:val="0036624C"/>
    <w:rsid w:val="00384CC2"/>
    <w:rsid w:val="00385A86"/>
    <w:rsid w:val="0039496E"/>
    <w:rsid w:val="004B5899"/>
    <w:rsid w:val="00541501"/>
    <w:rsid w:val="00581ADF"/>
    <w:rsid w:val="00600358"/>
    <w:rsid w:val="00667DBB"/>
    <w:rsid w:val="006C193D"/>
    <w:rsid w:val="006E0298"/>
    <w:rsid w:val="00737570"/>
    <w:rsid w:val="00752017"/>
    <w:rsid w:val="00765204"/>
    <w:rsid w:val="007E492E"/>
    <w:rsid w:val="00984316"/>
    <w:rsid w:val="00A2307D"/>
    <w:rsid w:val="00A2663C"/>
    <w:rsid w:val="00A37485"/>
    <w:rsid w:val="00A67995"/>
    <w:rsid w:val="00A7425B"/>
    <w:rsid w:val="00A805F0"/>
    <w:rsid w:val="00A87E4B"/>
    <w:rsid w:val="00AA3931"/>
    <w:rsid w:val="00AC3132"/>
    <w:rsid w:val="00AE3F48"/>
    <w:rsid w:val="00C73FDB"/>
    <w:rsid w:val="00CB508D"/>
    <w:rsid w:val="00D14E28"/>
    <w:rsid w:val="00D3388B"/>
    <w:rsid w:val="00D819B1"/>
    <w:rsid w:val="00D87D3A"/>
    <w:rsid w:val="00DC2144"/>
    <w:rsid w:val="00DE59AF"/>
    <w:rsid w:val="00E45B1E"/>
    <w:rsid w:val="00EB6376"/>
    <w:rsid w:val="00EC2938"/>
    <w:rsid w:val="00F64544"/>
    <w:rsid w:val="00FD1CE8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949128"/>
  <w15:docId w15:val="{FE76E86B-2E4E-4CA3-A32C-1AEE9CF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0"/>
    <w:link w:val="10"/>
    <w:uiPriority w:val="99"/>
    <w:qFormat/>
    <w:rsid w:val="00C73FDB"/>
    <w:pPr>
      <w:outlineLvl w:val="0"/>
    </w:pPr>
    <w:rPr>
      <w:sz w:val="24"/>
    </w:rPr>
  </w:style>
  <w:style w:type="paragraph" w:styleId="2">
    <w:name w:val="heading 2"/>
    <w:basedOn w:val="a0"/>
    <w:next w:val="a0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0"/>
    <w:next w:val="a0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0"/>
    <w:next w:val="a0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0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 w:cs="Times New Roman"/>
      <w:bCs/>
      <w:iCs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0"/>
    <w:next w:val="Body"/>
    <w:link w:val="Affilation0"/>
    <w:uiPriority w:val="1"/>
    <w:rsid w:val="00065005"/>
    <w:pPr>
      <w:spacing w:after="120"/>
      <w:ind w:firstLine="0"/>
      <w:jc w:val="center"/>
    </w:pPr>
    <w:rPr>
      <w:rFonts w:eastAsia="MS Mincho"/>
      <w:bCs/>
      <w:i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065005"/>
    <w:rPr>
      <w:rFonts w:ascii="Times New Roman" w:eastAsia="MS Mincho" w:hAnsi="Times New Roman"/>
      <w:bCs/>
      <w:i/>
      <w:sz w:val="28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4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0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5">
    <w:name w:val="footnote text"/>
    <w:basedOn w:val="a0"/>
    <w:link w:val="a6"/>
    <w:uiPriority w:val="99"/>
    <w:semiHidden/>
    <w:rsid w:val="00C73FDB"/>
    <w:rPr>
      <w:rFonts w:eastAsia="MS Mincho"/>
      <w:lang w:eastAsia="ja-JP"/>
    </w:rPr>
  </w:style>
  <w:style w:type="character" w:customStyle="1" w:styleId="a6">
    <w:name w:val="Текст сноски Знак"/>
    <w:link w:val="a5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7">
    <w:name w:val="annotation text"/>
    <w:basedOn w:val="a0"/>
    <w:link w:val="a8"/>
    <w:uiPriority w:val="99"/>
    <w:semiHidden/>
    <w:rsid w:val="00C73FDB"/>
  </w:style>
  <w:style w:type="character" w:customStyle="1" w:styleId="a8">
    <w:name w:val="Текст примечания Знак"/>
    <w:link w:val="a7"/>
    <w:uiPriority w:val="99"/>
    <w:semiHidden/>
    <w:rsid w:val="00C73FDB"/>
    <w:rPr>
      <w:rFonts w:eastAsia="Calibri"/>
      <w:sz w:val="20"/>
      <w:szCs w:val="20"/>
    </w:rPr>
  </w:style>
  <w:style w:type="paragraph" w:styleId="a9">
    <w:name w:val="header"/>
    <w:basedOn w:val="a0"/>
    <w:link w:val="aa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73FDB"/>
    <w:rPr>
      <w:rFonts w:eastAsia="Calibri"/>
      <w:lang w:eastAsia="ru-RU"/>
    </w:rPr>
  </w:style>
  <w:style w:type="paragraph" w:styleId="ab">
    <w:name w:val="footer"/>
    <w:basedOn w:val="a0"/>
    <w:link w:val="ac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73FDB"/>
    <w:rPr>
      <w:rFonts w:eastAsia="Calibri"/>
      <w:lang w:eastAsia="ru-RU"/>
    </w:rPr>
  </w:style>
  <w:style w:type="character" w:styleId="ad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e">
    <w:name w:val="annotation reference"/>
    <w:uiPriority w:val="99"/>
    <w:semiHidden/>
    <w:rsid w:val="00C73FDB"/>
    <w:rPr>
      <w:sz w:val="16"/>
      <w:szCs w:val="16"/>
    </w:rPr>
  </w:style>
  <w:style w:type="character" w:styleId="af">
    <w:name w:val="endnote reference"/>
    <w:uiPriority w:val="99"/>
    <w:semiHidden/>
    <w:rsid w:val="00C73FDB"/>
    <w:rPr>
      <w:vertAlign w:val="superscript"/>
    </w:rPr>
  </w:style>
  <w:style w:type="paragraph" w:styleId="af0">
    <w:name w:val="endnote text"/>
    <w:basedOn w:val="a0"/>
    <w:link w:val="af1"/>
    <w:uiPriority w:val="99"/>
    <w:semiHidden/>
    <w:rsid w:val="00C73FDB"/>
  </w:style>
  <w:style w:type="character" w:customStyle="1" w:styleId="af1">
    <w:name w:val="Текст концевой сноски Знак"/>
    <w:link w:val="af0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2">
    <w:name w:val="Body Text"/>
    <w:basedOn w:val="a0"/>
    <w:link w:val="af3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3">
    <w:name w:val="Основной текст Знак"/>
    <w:link w:val="af2"/>
    <w:semiHidden/>
    <w:rsid w:val="00C73FDB"/>
    <w:rPr>
      <w:rFonts w:eastAsia="MS Mincho"/>
      <w:lang w:eastAsia="ja-JP"/>
    </w:rPr>
  </w:style>
  <w:style w:type="paragraph" w:styleId="af4">
    <w:name w:val="Body Text Indent"/>
    <w:aliases w:val="текст,Основной текст 1,Нумерованный список !!,Надин стиль"/>
    <w:basedOn w:val="a0"/>
    <w:link w:val="af5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link w:val="af4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0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6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7">
    <w:name w:val="FollowedHyperlink"/>
    <w:uiPriority w:val="99"/>
    <w:semiHidden/>
    <w:rsid w:val="00C73FDB"/>
    <w:rPr>
      <w:color w:val="800080"/>
      <w:u w:val="single"/>
    </w:rPr>
  </w:style>
  <w:style w:type="paragraph" w:styleId="af8">
    <w:name w:val="Document Map"/>
    <w:basedOn w:val="a0"/>
    <w:link w:val="af9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9">
    <w:name w:val="Схема документа Знак"/>
    <w:link w:val="af8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0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a">
    <w:name w:val="annotation subject"/>
    <w:basedOn w:val="a7"/>
    <w:next w:val="a7"/>
    <w:link w:val="afb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e">
    <w:name w:val="Table Grid"/>
    <w:basedOn w:val="a2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f">
    <w:name w:val="Таблица РП"/>
    <w:basedOn w:val="a2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Body"/>
    <w:link w:val="References0"/>
    <w:uiPriority w:val="3"/>
    <w:rsid w:val="00A2663C"/>
    <w:pPr>
      <w:numPr>
        <w:numId w:val="12"/>
      </w:numPr>
      <w:tabs>
        <w:tab w:val="right" w:pos="454"/>
      </w:tabs>
      <w:ind w:left="454" w:hanging="454"/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A2663C"/>
    <w:rPr>
      <w:rFonts w:ascii="Times New Roman" w:eastAsia="MS Mincho" w:hAnsi="Times New Roman" w:cs="Times New Roman"/>
      <w:bCs/>
      <w:iCs/>
      <w:sz w:val="24"/>
      <w:szCs w:val="28"/>
      <w:lang w:val="x-none" w:eastAsia="ja-JP"/>
    </w:rPr>
  </w:style>
  <w:style w:type="paragraph" w:customStyle="1" w:styleId="Headers">
    <w:name w:val="Headers"/>
    <w:next w:val="Authors"/>
    <w:link w:val="Headers0"/>
    <w:uiPriority w:val="1"/>
    <w:rsid w:val="00A2663C"/>
    <w:pPr>
      <w:tabs>
        <w:tab w:val="left" w:pos="1418"/>
      </w:tabs>
      <w:spacing w:after="120" w:line="240" w:lineRule="auto"/>
      <w:jc w:val="center"/>
    </w:pPr>
    <w:rPr>
      <w:rFonts w:ascii="Cambria" w:eastAsia="MS Mincho" w:hAnsi="Cambria"/>
      <w:b/>
      <w:bCs/>
      <w:sz w:val="24"/>
      <w:szCs w:val="28"/>
      <w:lang w:eastAsia="ja-JP"/>
    </w:rPr>
  </w:style>
  <w:style w:type="character" w:customStyle="1" w:styleId="Headers0">
    <w:name w:val="Headers Знак"/>
    <w:link w:val="Headers"/>
    <w:uiPriority w:val="1"/>
    <w:locked/>
    <w:rsid w:val="00A2663C"/>
    <w:rPr>
      <w:rFonts w:ascii="Cambria" w:eastAsia="MS Mincho" w:hAnsi="Cambria"/>
      <w:b/>
      <w:bCs/>
      <w:sz w:val="24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065005"/>
    <w:pPr>
      <w:spacing w:after="120"/>
      <w:jc w:val="center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uthors0">
    <w:name w:val="Authors Знак"/>
    <w:basedOn w:val="Headers0"/>
    <w:link w:val="Authors"/>
    <w:uiPriority w:val="2"/>
    <w:locked/>
    <w:rsid w:val="00065005"/>
    <w:rPr>
      <w:rFonts w:ascii="Cambria" w:eastAsia="Times New Roman" w:hAnsi="Cambria"/>
      <w:b w:val="0"/>
      <w:bCs w:val="0"/>
      <w:color w:val="000000"/>
      <w:sz w:val="28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0">
    <w:name w:val="Light Shading"/>
    <w:basedOn w:val="a2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rsid w:val="00A2663C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hAnsi="Times New Roman" w:cs="Times New Roman"/>
      <w:bCs/>
      <w:iCs/>
      <w:sz w:val="24"/>
      <w:szCs w:val="23"/>
      <w:lang w:val="en-US"/>
    </w:rPr>
  </w:style>
  <w:style w:type="paragraph" w:customStyle="1" w:styleId="Subheader">
    <w:name w:val="Subheader"/>
    <w:basedOn w:val="Body"/>
    <w:rsid w:val="00065005"/>
    <w:pPr>
      <w:spacing w:before="120" w:after="120"/>
      <w:jc w:val="left"/>
    </w:pPr>
    <w:rPr>
      <w:b/>
    </w:rPr>
  </w:style>
  <w:style w:type="paragraph" w:customStyle="1" w:styleId="Image">
    <w:name w:val="Image"/>
    <w:basedOn w:val="Body"/>
    <w:rsid w:val="00AC3132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chart" Target="charts/chart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ООО "Газпром бурение"</c:v>
                </c:pt>
              </c:strCache>
            </c:strRef>
          </c:tx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0.91</c:v>
                </c:pt>
                <c:pt idx="1">
                  <c:v>0.88</c:v>
                </c:pt>
                <c:pt idx="2">
                  <c:v>0.83</c:v>
                </c:pt>
                <c:pt idx="3">
                  <c:v>0.79</c:v>
                </c:pt>
                <c:pt idx="4">
                  <c:v>0.86</c:v>
                </c:pt>
                <c:pt idx="5">
                  <c:v>0.76</c:v>
                </c:pt>
                <c:pt idx="6">
                  <c:v>0.66</c:v>
                </c:pt>
                <c:pt idx="7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AA-4FED-A427-7768942FEC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ООО "РН-Бурение"</c:v>
                </c:pt>
              </c:strCache>
            </c:strRef>
          </c:tx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0.89</c:v>
                </c:pt>
                <c:pt idx="1">
                  <c:v>0.82</c:v>
                </c:pt>
                <c:pt idx="2">
                  <c:v>0.79</c:v>
                </c:pt>
                <c:pt idx="3">
                  <c:v>0.83</c:v>
                </c:pt>
                <c:pt idx="4">
                  <c:v>0.83</c:v>
                </c:pt>
                <c:pt idx="5">
                  <c:v>0.63</c:v>
                </c:pt>
                <c:pt idx="6">
                  <c:v>0.56000000000000005</c:v>
                </c:pt>
                <c:pt idx="7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AA-4FED-A427-7768942FEC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54536576"/>
        <c:axId val="148169088"/>
      </c:barChart>
      <c:catAx>
        <c:axId val="15453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8169088"/>
        <c:crosses val="autoZero"/>
        <c:auto val="1"/>
        <c:lblAlgn val="ctr"/>
        <c:lblOffset val="100"/>
        <c:noMultiLvlLbl val="0"/>
      </c:catAx>
      <c:valAx>
        <c:axId val="1481690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453657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1519-981D-40F2-8018-2EB25482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Е.В.</dc:creator>
  <cp:lastModifiedBy>Карачаков Дмитрий Михайлович</cp:lastModifiedBy>
  <cp:revision>13</cp:revision>
  <dcterms:created xsi:type="dcterms:W3CDTF">2021-03-10T14:17:00Z</dcterms:created>
  <dcterms:modified xsi:type="dcterms:W3CDTF">2021-03-18T10:05:00Z</dcterms:modified>
</cp:coreProperties>
</file>